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5A" w:rsidRDefault="0043555A">
      <w:pPr>
        <w:pStyle w:val="a0"/>
        <w:spacing w:line="560" w:lineRule="exact"/>
      </w:pPr>
    </w:p>
    <w:p w:rsidR="0043555A" w:rsidRDefault="00F94811">
      <w:pPr>
        <w:spacing w:line="560" w:lineRule="exact"/>
        <w:ind w:firstLineChars="400" w:firstLine="1446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203#</w:t>
      </w:r>
      <w:r w:rsidR="009F14FC">
        <w:rPr>
          <w:rFonts w:hint="eastAsia"/>
          <w:b/>
          <w:bCs/>
          <w:sz w:val="36"/>
          <w:szCs w:val="36"/>
        </w:rPr>
        <w:t>附件污水自动监控设施运维服务内容</w:t>
      </w:r>
    </w:p>
    <w:p w:rsidR="0043555A" w:rsidRDefault="0043555A">
      <w:pPr>
        <w:spacing w:line="560" w:lineRule="exact"/>
      </w:pPr>
    </w:p>
    <w:tbl>
      <w:tblPr>
        <w:tblW w:w="95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10"/>
        <w:gridCol w:w="1150"/>
        <w:gridCol w:w="2129"/>
        <w:gridCol w:w="2689"/>
      </w:tblGrid>
      <w:tr w:rsidR="0043555A">
        <w:trPr>
          <w:trHeight w:val="2040"/>
        </w:trPr>
        <w:tc>
          <w:tcPr>
            <w:tcW w:w="6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巡检内容：</w:t>
            </w:r>
          </w:p>
          <w:p w:rsidR="0043555A" w:rsidRDefault="00FA06BF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检查设备及辅助设备运行状态，主要技术参数判断是否正常；</w:t>
            </w:r>
          </w:p>
          <w:p w:rsidR="0043555A" w:rsidRDefault="00FA06BF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检查自来水供应、取样系统、内部管路是否清洁通畅；</w:t>
            </w:r>
          </w:p>
          <w:p w:rsidR="0043555A" w:rsidRDefault="00FA06BF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检查站房电路、通讯系统是否正常；</w:t>
            </w:r>
          </w:p>
          <w:p w:rsidR="0043555A" w:rsidRDefault="00FA06BF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对于用电极法测量的设备，检查标液和电极填充液，进行电极清洗；</w:t>
            </w:r>
          </w:p>
          <w:p w:rsidR="0043555A" w:rsidRDefault="00FA06BF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检查设备标准液、试剂有效期和余量，及时更换和添加；</w:t>
            </w:r>
          </w:p>
          <w:p w:rsidR="0043555A" w:rsidRDefault="00FA06BF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检查数据传输系统，看设备和数采仪、上位机是否一致；</w:t>
            </w:r>
          </w:p>
          <w:p w:rsidR="0043555A" w:rsidRDefault="00FA06BF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对于没有自动调零、校正功能的设备进行手动调零、校正；</w:t>
            </w:r>
          </w:p>
          <w:p w:rsidR="0043555A" w:rsidRDefault="00FA06BF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收集设备运行产生的废液，进行妥善处理；</w:t>
            </w:r>
          </w:p>
          <w:p w:rsidR="0043555A" w:rsidRDefault="00FA06BF">
            <w:pPr>
              <w:widowControl/>
              <w:numPr>
                <w:ilvl w:val="0"/>
                <w:numId w:val="1"/>
              </w:numPr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站房环境清洁，各类辅助设备检查，保证设备所需的温度、湿度等正常运行环境。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每周一次</w:t>
            </w:r>
          </w:p>
          <w:p w:rsidR="0043555A" w:rsidRDefault="00FA06BF">
            <w:pPr>
              <w:widowControl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（运维技术员）</w:t>
            </w:r>
          </w:p>
          <w:p w:rsidR="0043555A" w:rsidRDefault="0043555A">
            <w:pPr>
              <w:widowControl/>
              <w:spacing w:line="560" w:lineRule="exact"/>
              <w:ind w:firstLineChars="200" w:firstLine="48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43555A">
        <w:trPr>
          <w:trHeight w:val="300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定期维护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次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t>12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555A" w:rsidRDefault="0043555A">
            <w:pPr>
              <w:widowControl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43555A">
        <w:trPr>
          <w:trHeight w:val="2322"/>
        </w:trPr>
        <w:tc>
          <w:tcPr>
            <w:tcW w:w="6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维护内容：</w:t>
            </w:r>
          </w:p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清洗取样系统管路、内部管路、各类探头；</w:t>
            </w:r>
          </w:p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清洗设备计量单元、反应单元、加热单元、检测单元；</w:t>
            </w:r>
          </w:p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、检查各类设备转换系统、曲线是否适用，必要时进行修正；</w:t>
            </w:r>
          </w:p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、对数据存储、控制系统运行状态进行检查；</w:t>
            </w:r>
          </w:p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、在现场进行一次实际样品和质控样检验，检验结果应符合验收规范标准；</w:t>
            </w:r>
          </w:p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t>6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、检查设备接地情况、站房防雷措施；</w:t>
            </w:r>
          </w:p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lastRenderedPageBreak/>
              <w:t>7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、检查各类电磁阀、泵、电极、探头工作状态，必要时进行更换；</w:t>
            </w:r>
          </w:p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t>8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、检查各类活塞、密封圈、内部导管、连接头是否工作状态，必要时进行更换；</w:t>
            </w:r>
          </w:p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t>9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、检查设备其他常用易耗品工作状态，进行定期更换；</w:t>
            </w:r>
          </w:p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t>10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、进行一次设备重复性、零点漂移、量程漂移实验，实验结果符合验收规范指标；</w:t>
            </w:r>
          </w:p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t>11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、设备校正、在现场通讯系统工作状态，做好数据备份，保证数据不丢失。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lastRenderedPageBreak/>
              <w:t>每月一次</w:t>
            </w:r>
          </w:p>
          <w:p w:rsidR="0043555A" w:rsidRDefault="00FA06BF">
            <w:pPr>
              <w:widowControl/>
              <w:spacing w:line="560" w:lineRule="exact"/>
              <w:ind w:firstLineChars="100" w:firstLine="240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（运维工程师）</w:t>
            </w:r>
          </w:p>
          <w:p w:rsidR="0043555A" w:rsidRDefault="0043555A">
            <w:pPr>
              <w:widowControl/>
              <w:spacing w:line="560" w:lineRule="exact"/>
              <w:ind w:firstLineChars="200" w:firstLine="48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43555A">
        <w:trPr>
          <w:trHeight w:val="300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lastRenderedPageBreak/>
              <w:t>故障维修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555A" w:rsidRDefault="0043555A">
            <w:pPr>
              <w:widowControl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43555A">
        <w:trPr>
          <w:trHeight w:val="1242"/>
        </w:trPr>
        <w:tc>
          <w:tcPr>
            <w:tcW w:w="6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服务内容：</w:t>
            </w:r>
          </w:p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设备发生故障或接到故障通知，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小时内响应，</w:t>
            </w: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小时内赶到现场进行处理；</w:t>
            </w:r>
          </w:p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、对于不易诊断和维护的设备故障，如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48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小时内无法排除，应及时上报环保部门备案；</w:t>
            </w:r>
          </w:p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、设备进行维护后，使用和运行前按国家有关技术规定进行校准检查，如设备进行了更换，在使用和运行前对设备进行校验和比对实验，其结果符合验收规范指标。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服务期内</w:t>
            </w:r>
          </w:p>
          <w:p w:rsidR="0043555A" w:rsidRDefault="00FA06BF">
            <w:pPr>
              <w:pStyle w:val="a6"/>
              <w:spacing w:line="560" w:lineRule="exact"/>
              <w:ind w:firstLineChars="0" w:firstLine="0"/>
              <w:jc w:val="center"/>
              <w:rPr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（运维工程师</w:t>
            </w:r>
            <w:r>
              <w:rPr>
                <w:rFonts w:hint="eastAsia"/>
                <w:szCs w:val="24"/>
              </w:rPr>
              <w:t>）</w:t>
            </w:r>
          </w:p>
        </w:tc>
      </w:tr>
      <w:tr w:rsidR="0043555A">
        <w:trPr>
          <w:trHeight w:val="300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其他服务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555A" w:rsidRDefault="0043555A">
            <w:pPr>
              <w:widowControl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</w:p>
        </w:tc>
      </w:tr>
      <w:tr w:rsidR="0043555A">
        <w:trPr>
          <w:trHeight w:val="1302"/>
        </w:trPr>
        <w:tc>
          <w:tcPr>
            <w:tcW w:w="6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服务内容：</w:t>
            </w:r>
          </w:p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每日远程监控诊断服务，检查数据传输系统是否正常，发现数据有持续异常情况，立即前往站点进行检查；</w:t>
            </w:r>
          </w:p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、整体系统进行全面检查、维护、如需停用检查的，需事先报环保部门批准；</w:t>
            </w:r>
          </w:p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、配合环保部门，接受有资质的检测机构进行抽检及校验；</w:t>
            </w:r>
          </w:p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lastRenderedPageBreak/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、持续提供零星备件供应；</w:t>
            </w:r>
          </w:p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、持续提供设备扩容服务；</w:t>
            </w:r>
          </w:p>
          <w:p w:rsidR="0043555A" w:rsidRDefault="00FA06BF">
            <w:pPr>
              <w:widowControl/>
              <w:spacing w:line="56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/>
                <w:color w:val="000000"/>
                <w:kern w:val="0"/>
                <w:sz w:val="24"/>
              </w:rPr>
              <w:t>6</w:t>
            </w: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4"/>
              </w:rPr>
              <w:t>、免费提供软件升级服务。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lastRenderedPageBreak/>
              <w:t>服务期内</w:t>
            </w:r>
          </w:p>
          <w:p w:rsidR="0043555A" w:rsidRDefault="00FA06BF">
            <w:pPr>
              <w:pStyle w:val="a6"/>
              <w:spacing w:line="560" w:lineRule="exact"/>
              <w:ind w:firstLineChars="111" w:firstLine="266"/>
              <w:jc w:val="center"/>
              <w:rPr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2"/>
                <w:szCs w:val="24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运维技术员</w:t>
            </w:r>
            <w:r>
              <w:rPr>
                <w:rFonts w:ascii="微软雅黑" w:eastAsia="微软雅黑" w:hAnsi="微软雅黑" w:cs="微软雅黑" w:hint="eastAsia"/>
                <w:color w:val="000000"/>
                <w:kern w:val="2"/>
                <w:szCs w:val="24"/>
              </w:rPr>
              <w:t>）</w:t>
            </w:r>
          </w:p>
        </w:tc>
      </w:tr>
    </w:tbl>
    <w:p w:rsidR="0043555A" w:rsidRDefault="0043555A">
      <w:pPr>
        <w:pStyle w:val="a0"/>
        <w:spacing w:line="560" w:lineRule="exact"/>
      </w:pPr>
    </w:p>
    <w:p w:rsidR="0043555A" w:rsidRDefault="0043555A">
      <w:pPr>
        <w:spacing w:line="560" w:lineRule="exact"/>
      </w:pPr>
    </w:p>
    <w:p w:rsidR="0043555A" w:rsidRDefault="0043555A">
      <w:pPr>
        <w:pStyle w:val="a0"/>
        <w:spacing w:line="560" w:lineRule="exact"/>
      </w:pPr>
    </w:p>
    <w:p w:rsidR="0043555A" w:rsidRDefault="0043555A">
      <w:pPr>
        <w:spacing w:line="560" w:lineRule="exact"/>
      </w:pPr>
    </w:p>
    <w:p w:rsidR="0043555A" w:rsidRDefault="0043555A">
      <w:pPr>
        <w:pStyle w:val="a0"/>
        <w:spacing w:line="560" w:lineRule="exact"/>
      </w:pPr>
    </w:p>
    <w:p w:rsidR="0043555A" w:rsidRDefault="0043555A"/>
    <w:p w:rsidR="0043555A" w:rsidRDefault="0043555A">
      <w:pPr>
        <w:pStyle w:val="a0"/>
      </w:pPr>
    </w:p>
    <w:p w:rsidR="0043555A" w:rsidRDefault="0043555A"/>
    <w:p w:rsidR="0043555A" w:rsidRDefault="0043555A">
      <w:pPr>
        <w:pStyle w:val="a0"/>
      </w:pPr>
    </w:p>
    <w:p w:rsidR="0043555A" w:rsidRDefault="0043555A"/>
    <w:p w:rsidR="0043555A" w:rsidRDefault="0043555A">
      <w:pPr>
        <w:pStyle w:val="a0"/>
      </w:pPr>
    </w:p>
    <w:p w:rsidR="0043555A" w:rsidRDefault="0043555A"/>
    <w:p w:rsidR="0043555A" w:rsidRDefault="0043555A">
      <w:pPr>
        <w:pStyle w:val="a0"/>
      </w:pPr>
    </w:p>
    <w:p w:rsidR="0043555A" w:rsidRDefault="0043555A"/>
    <w:p w:rsidR="0043555A" w:rsidRDefault="0043555A">
      <w:pPr>
        <w:pStyle w:val="a0"/>
      </w:pPr>
    </w:p>
    <w:p w:rsidR="0043555A" w:rsidRDefault="0043555A"/>
    <w:p w:rsidR="0043555A" w:rsidRDefault="0043555A">
      <w:pPr>
        <w:pStyle w:val="a0"/>
      </w:pPr>
    </w:p>
    <w:p w:rsidR="0043555A" w:rsidRDefault="0043555A"/>
    <w:p w:rsidR="0043555A" w:rsidRDefault="0043555A">
      <w:pPr>
        <w:pStyle w:val="a0"/>
      </w:pPr>
    </w:p>
    <w:p w:rsidR="0043555A" w:rsidRDefault="0043555A"/>
    <w:p w:rsidR="0043555A" w:rsidRDefault="0043555A">
      <w:pPr>
        <w:pStyle w:val="a0"/>
      </w:pPr>
    </w:p>
    <w:p w:rsidR="0043555A" w:rsidRDefault="0043555A"/>
    <w:p w:rsidR="0043555A" w:rsidRDefault="0043555A">
      <w:pPr>
        <w:pStyle w:val="a0"/>
      </w:pPr>
    </w:p>
    <w:p w:rsidR="0043555A" w:rsidRDefault="0043555A"/>
    <w:p w:rsidR="0043555A" w:rsidRDefault="0043555A">
      <w:pPr>
        <w:spacing w:line="560" w:lineRule="exact"/>
      </w:pPr>
    </w:p>
    <w:p w:rsidR="0043555A" w:rsidRDefault="0043555A">
      <w:pPr>
        <w:pStyle w:val="0"/>
        <w:spacing w:line="560" w:lineRule="exact"/>
        <w:ind w:firstLineChars="799" w:firstLine="2888"/>
        <w:rPr>
          <w:rFonts w:ascii="宋体" w:hAnsi="宋体" w:cs="宋体"/>
          <w:b/>
          <w:sz w:val="36"/>
          <w:szCs w:val="36"/>
        </w:rPr>
      </w:pPr>
    </w:p>
    <w:p w:rsidR="0043555A" w:rsidRDefault="00FA06BF">
      <w:pPr>
        <w:pStyle w:val="0"/>
        <w:spacing w:line="560" w:lineRule="exact"/>
        <w:ind w:firstLineChars="799" w:firstLine="2888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服务工作考核评分表</w:t>
      </w:r>
    </w:p>
    <w:tbl>
      <w:tblPr>
        <w:tblW w:w="9506" w:type="dxa"/>
        <w:tblInd w:w="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0"/>
        <w:gridCol w:w="6212"/>
        <w:gridCol w:w="872"/>
        <w:gridCol w:w="1012"/>
      </w:tblGrid>
      <w:tr w:rsidR="0043555A">
        <w:trPr>
          <w:trHeight w:val="880"/>
        </w:trPr>
        <w:tc>
          <w:tcPr>
            <w:tcW w:w="1410" w:type="dxa"/>
            <w:tcBorders>
              <w:top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55A" w:rsidRDefault="00FA06BF">
            <w:pPr>
              <w:autoSpaceDE w:val="0"/>
              <w:autoSpaceDN w:val="0"/>
              <w:adjustRightInd w:val="0"/>
              <w:spacing w:line="560" w:lineRule="exact"/>
              <w:ind w:firstLineChars="99" w:firstLine="239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名</w:t>
            </w:r>
            <w:r>
              <w:rPr>
                <w:rFonts w:asci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b/>
                <w:kern w:val="0"/>
                <w:sz w:val="24"/>
              </w:rPr>
              <w:t>称</w:t>
            </w:r>
          </w:p>
        </w:tc>
        <w:tc>
          <w:tcPr>
            <w:tcW w:w="6212" w:type="dxa"/>
            <w:tcBorders>
              <w:top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55A" w:rsidRDefault="00FA06B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考核细则</w:t>
            </w:r>
          </w:p>
        </w:tc>
        <w:tc>
          <w:tcPr>
            <w:tcW w:w="872" w:type="dxa"/>
            <w:tcBorders>
              <w:top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55A" w:rsidRDefault="00FA06B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考核</w:t>
            </w:r>
          </w:p>
          <w:p w:rsidR="0043555A" w:rsidRDefault="00FA06B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分值</w:t>
            </w:r>
          </w:p>
        </w:tc>
        <w:tc>
          <w:tcPr>
            <w:tcW w:w="1012" w:type="dxa"/>
            <w:tcBorders>
              <w:top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55A" w:rsidRDefault="00FA06B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考核</w:t>
            </w:r>
          </w:p>
          <w:p w:rsidR="0043555A" w:rsidRDefault="00FA06B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得分</w:t>
            </w:r>
          </w:p>
        </w:tc>
      </w:tr>
      <w:tr w:rsidR="0043555A">
        <w:trPr>
          <w:trHeight w:val="1308"/>
        </w:trPr>
        <w:tc>
          <w:tcPr>
            <w:tcW w:w="1410" w:type="dxa"/>
            <w:vMerge w:val="restart"/>
            <w:tcBorders>
              <w:top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污水自动监控设施运维服务</w:t>
            </w:r>
          </w:p>
          <w:p w:rsidR="0043555A" w:rsidRDefault="0043555A">
            <w:pPr>
              <w:pStyle w:val="a6"/>
              <w:spacing w:line="560" w:lineRule="exact"/>
              <w:ind w:firstLine="480"/>
              <w:rPr>
                <w:szCs w:val="24"/>
              </w:rPr>
            </w:pPr>
          </w:p>
          <w:p w:rsidR="0043555A" w:rsidRDefault="00FA06BF">
            <w:pPr>
              <w:pStyle w:val="a6"/>
              <w:spacing w:line="560" w:lineRule="exact"/>
              <w:ind w:firstLine="480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  <w:r>
              <w:rPr>
                <w:rFonts w:hint="eastAsia"/>
                <w:szCs w:val="24"/>
              </w:rPr>
              <w:t>0</w:t>
            </w:r>
            <w:r>
              <w:rPr>
                <w:rFonts w:hint="eastAsia"/>
                <w:szCs w:val="24"/>
              </w:rPr>
              <w:t>分</w:t>
            </w:r>
          </w:p>
          <w:p w:rsidR="0043555A" w:rsidRDefault="0043555A">
            <w:pPr>
              <w:pStyle w:val="a6"/>
              <w:spacing w:line="560" w:lineRule="exact"/>
              <w:ind w:firstLine="480"/>
              <w:rPr>
                <w:szCs w:val="24"/>
              </w:rPr>
            </w:pPr>
          </w:p>
        </w:tc>
        <w:tc>
          <w:tcPr>
            <w:tcW w:w="6212" w:type="dxa"/>
            <w:tcBorders>
              <w:top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日常巡检：</w:t>
            </w:r>
          </w:p>
          <w:p w:rsidR="0043555A" w:rsidRDefault="00FA06BF">
            <w:pPr>
              <w:widowControl/>
              <w:spacing w:line="560" w:lineRule="exact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乙方每周一次进行日常巡检，检查</w:t>
            </w:r>
            <w:r>
              <w:rPr>
                <w:rFonts w:hint="eastAsia"/>
                <w:sz w:val="24"/>
              </w:rPr>
              <w:t>污水自动监控设施各类</w:t>
            </w:r>
            <w:r>
              <w:rPr>
                <w:rFonts w:hint="eastAsia"/>
                <w:kern w:val="0"/>
                <w:sz w:val="24"/>
              </w:rPr>
              <w:t>设备及辅助设备运行状态、运行环境和技术参数是否正常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</w:rPr>
              <w:t>以现场运行记录本及院方指定人员签字为准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 w:rsidR="0043555A" w:rsidRDefault="00FA06BF">
            <w:pPr>
              <w:widowControl/>
              <w:spacing w:line="560" w:lineRule="exac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未完成一次扣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分，最高扣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872" w:type="dxa"/>
            <w:tcBorders>
              <w:top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55A" w:rsidRDefault="00FA06BF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分</w:t>
            </w:r>
          </w:p>
        </w:tc>
        <w:tc>
          <w:tcPr>
            <w:tcW w:w="1012" w:type="dxa"/>
            <w:tcBorders>
              <w:top w:val="single" w:sz="12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55A" w:rsidRDefault="0043555A">
            <w:pPr>
              <w:widowControl/>
              <w:spacing w:line="560" w:lineRule="exact"/>
              <w:textAlignment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3555A">
        <w:trPr>
          <w:trHeight w:val="1555"/>
        </w:trPr>
        <w:tc>
          <w:tcPr>
            <w:tcW w:w="141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55A" w:rsidRDefault="0043555A"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2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textAlignment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定期维护：</w:t>
            </w:r>
          </w:p>
          <w:p w:rsidR="0043555A" w:rsidRDefault="00FA06BF">
            <w:pPr>
              <w:widowControl/>
              <w:spacing w:line="560" w:lineRule="exact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乙方每月一次进行系统维护，</w:t>
            </w:r>
            <w:r>
              <w:rPr>
                <w:rFonts w:hint="eastAsia"/>
                <w:sz w:val="24"/>
              </w:rPr>
              <w:t>对污水自动监控设施的</w:t>
            </w:r>
            <w:r>
              <w:rPr>
                <w:rFonts w:hint="eastAsia"/>
                <w:kern w:val="0"/>
                <w:sz w:val="24"/>
              </w:rPr>
              <w:t>取样系统和设备单元进行清洗，更换各类设备易损易耗件，同时做好设备校正、数据备份等维护工作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</w:rPr>
              <w:t>以现场运行记录本及院方指定人员签字为准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 w:rsidR="0043555A" w:rsidRDefault="00FA06BF">
            <w:pPr>
              <w:pStyle w:val="a6"/>
              <w:spacing w:line="560" w:lineRule="exact"/>
              <w:ind w:firstLineChars="0" w:firstLine="0"/>
              <w:rPr>
                <w:rFonts w:hAnsi="宋体" w:cs="宋体"/>
                <w:szCs w:val="24"/>
              </w:rPr>
            </w:pPr>
            <w:r>
              <w:rPr>
                <w:rFonts w:hAnsi="宋体" w:cs="宋体" w:hint="eastAsia"/>
                <w:szCs w:val="24"/>
              </w:rPr>
              <w:t>未完成</w:t>
            </w:r>
            <w:r>
              <w:rPr>
                <w:rFonts w:hAnsi="宋体" w:cs="宋体" w:hint="eastAsia"/>
                <w:color w:val="000000"/>
                <w:szCs w:val="24"/>
              </w:rPr>
              <w:t>一次扣</w:t>
            </w:r>
            <w:r>
              <w:rPr>
                <w:rFonts w:hAnsi="宋体" w:cs="宋体" w:hint="eastAsia"/>
                <w:color w:val="000000"/>
                <w:szCs w:val="24"/>
              </w:rPr>
              <w:t>2</w:t>
            </w:r>
            <w:r>
              <w:rPr>
                <w:rFonts w:hAnsi="宋体" w:cs="宋体" w:hint="eastAsia"/>
                <w:color w:val="000000"/>
                <w:szCs w:val="24"/>
              </w:rPr>
              <w:t>分，最高扣</w:t>
            </w:r>
            <w:r>
              <w:rPr>
                <w:rFonts w:hAnsi="宋体" w:cs="宋体" w:hint="eastAsia"/>
                <w:color w:val="000000"/>
                <w:szCs w:val="24"/>
              </w:rPr>
              <w:t>10</w:t>
            </w:r>
            <w:r>
              <w:rPr>
                <w:rFonts w:hAnsi="宋体" w:cs="宋体" w:hint="eastAsia"/>
                <w:color w:val="000000"/>
                <w:szCs w:val="24"/>
              </w:rPr>
              <w:t>分。</w:t>
            </w:r>
          </w:p>
        </w:tc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55A" w:rsidRDefault="00FA06BF">
            <w:pPr>
              <w:pStyle w:val="0"/>
              <w:spacing w:line="560" w:lineRule="exact"/>
              <w:ind w:firstLineChars="100" w:firstLine="240"/>
              <w:rPr>
                <w:rFonts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20</w:t>
            </w:r>
            <w:r>
              <w:rPr>
                <w:rFonts w:ascii="宋体" w:hAnsi="宋体" w:cs="宋体" w:hint="eastAsia"/>
                <w:szCs w:val="24"/>
              </w:rPr>
              <w:t>分</w:t>
            </w:r>
          </w:p>
        </w:tc>
        <w:tc>
          <w:tcPr>
            <w:tcW w:w="10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55A" w:rsidRDefault="0043555A">
            <w:pPr>
              <w:pStyle w:val="a6"/>
              <w:spacing w:line="560" w:lineRule="exact"/>
              <w:ind w:firstLineChars="0" w:firstLine="0"/>
              <w:rPr>
                <w:rFonts w:hAnsi="宋体" w:cs="宋体"/>
                <w:szCs w:val="24"/>
              </w:rPr>
            </w:pPr>
          </w:p>
        </w:tc>
      </w:tr>
      <w:tr w:rsidR="0043555A">
        <w:trPr>
          <w:trHeight w:val="90"/>
        </w:trPr>
        <w:tc>
          <w:tcPr>
            <w:tcW w:w="141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55A" w:rsidRDefault="0043555A"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2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55A" w:rsidRDefault="00FA06BF">
            <w:pPr>
              <w:pStyle w:val="0"/>
              <w:spacing w:line="560" w:lineRule="exact"/>
              <w:ind w:firstLineChars="0" w:firstLine="0"/>
              <w:rPr>
                <w:rFonts w:ascii="宋体"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故障维修：</w:t>
            </w:r>
          </w:p>
          <w:p w:rsidR="0043555A" w:rsidRDefault="00FA06BF">
            <w:pPr>
              <w:widowControl/>
              <w:spacing w:line="560" w:lineRule="exact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当污水自动监控设施发生故障时，乙方应该在接到故障通知后</w:t>
            </w:r>
            <w:r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小时内响应，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小时内赶到现场进行处理，对于不易诊断和维护的设备故障，如</w:t>
            </w:r>
            <w:r>
              <w:rPr>
                <w:rFonts w:hint="eastAsia"/>
                <w:kern w:val="0"/>
                <w:sz w:val="24"/>
              </w:rPr>
              <w:t>48</w:t>
            </w:r>
            <w:r>
              <w:rPr>
                <w:rFonts w:hint="eastAsia"/>
                <w:kern w:val="0"/>
                <w:sz w:val="24"/>
              </w:rPr>
              <w:t>小时内无法排除，乙方应立即告知甲方并及时上报环保部门备案。</w:t>
            </w:r>
          </w:p>
          <w:p w:rsidR="0043555A" w:rsidRDefault="00FA06BF">
            <w:pPr>
              <w:pStyle w:val="0"/>
              <w:spacing w:line="560" w:lineRule="exact"/>
              <w:ind w:firstLineChars="0" w:firstLine="0"/>
              <w:rPr>
                <w:rFonts w:hAnsi="宋体" w:cs="宋体"/>
                <w:szCs w:val="24"/>
              </w:rPr>
            </w:pPr>
            <w:r>
              <w:rPr>
                <w:rFonts w:ascii="宋体" w:hAnsi="宋体" w:cs="宋体" w:hint="eastAsia"/>
                <w:szCs w:val="24"/>
              </w:rPr>
              <w:t>未完成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一次扣</w:t>
            </w:r>
            <w:r>
              <w:rPr>
                <w:rFonts w:hAnsi="宋体" w:cs="宋体" w:hint="eastAsia"/>
                <w:color w:val="000000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分，最高扣</w:t>
            </w:r>
            <w:r>
              <w:rPr>
                <w:rFonts w:hAnsi="宋体" w:cs="宋体" w:hint="eastAsia"/>
                <w:color w:val="000000"/>
                <w:szCs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Cs w:val="24"/>
              </w:rPr>
              <w:t>分。</w:t>
            </w:r>
          </w:p>
        </w:tc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ind w:firstLineChars="100" w:firstLine="240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分</w:t>
            </w:r>
          </w:p>
        </w:tc>
        <w:tc>
          <w:tcPr>
            <w:tcW w:w="10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55A" w:rsidRDefault="0043555A">
            <w:pPr>
              <w:pStyle w:val="a6"/>
              <w:spacing w:line="560" w:lineRule="exact"/>
              <w:ind w:firstLine="480"/>
              <w:rPr>
                <w:rFonts w:hAnsi="宋体" w:cs="宋体"/>
                <w:szCs w:val="24"/>
              </w:rPr>
            </w:pPr>
          </w:p>
        </w:tc>
      </w:tr>
      <w:tr w:rsidR="0043555A">
        <w:trPr>
          <w:trHeight w:val="818"/>
        </w:trPr>
        <w:tc>
          <w:tcPr>
            <w:tcW w:w="141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55A" w:rsidRDefault="0043555A">
            <w:pPr>
              <w:widowControl/>
              <w:spacing w:line="560" w:lineRule="exact"/>
              <w:textAlignment w:val="center"/>
              <w:rPr>
                <w:rFonts w:ascii="宋体" w:cs="宋体"/>
                <w:sz w:val="24"/>
              </w:rPr>
            </w:pPr>
          </w:p>
        </w:tc>
        <w:tc>
          <w:tcPr>
            <w:tcW w:w="62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textAlignment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其它服务：</w:t>
            </w:r>
          </w:p>
          <w:p w:rsidR="0043555A" w:rsidRDefault="00FA06BF">
            <w:pPr>
              <w:widowControl/>
              <w:spacing w:line="560" w:lineRule="exact"/>
              <w:textAlignment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乙方进行远程监控诊断服务，检查数据传输系统是否正常，发现数据有持续异常情况，应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小时内通知院方并安排人员</w:t>
            </w:r>
            <w:r>
              <w:rPr>
                <w:rFonts w:hint="eastAsia"/>
                <w:kern w:val="0"/>
                <w:sz w:val="24"/>
              </w:rPr>
              <w:t>立即前往站点进行检查，并配合</w:t>
            </w:r>
            <w:r>
              <w:rPr>
                <w:rFonts w:hint="eastAsia"/>
                <w:kern w:val="0"/>
                <w:sz w:val="24"/>
              </w:rPr>
              <w:t>院方及</w:t>
            </w:r>
            <w:r>
              <w:rPr>
                <w:rFonts w:hint="eastAsia"/>
                <w:kern w:val="0"/>
                <w:sz w:val="24"/>
              </w:rPr>
              <w:t>环保部门，接受有资质的检测机构进行抽检及校验等。</w:t>
            </w:r>
            <w:bookmarkStart w:id="0" w:name="_GoBack"/>
            <w:bookmarkEnd w:id="0"/>
          </w:p>
          <w:p w:rsidR="0043555A" w:rsidRDefault="00FA06BF">
            <w:pPr>
              <w:widowControl/>
              <w:spacing w:line="560" w:lineRule="exact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未完成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一次扣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分，最高扣</w:t>
            </w:r>
            <w:r>
              <w:rPr>
                <w:rFonts w:hAnsi="宋体" w:cs="宋体" w:hint="eastAsia"/>
                <w:color w:val="000000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87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55A" w:rsidRDefault="00FA06BF">
            <w:pPr>
              <w:widowControl/>
              <w:spacing w:line="560" w:lineRule="exact"/>
              <w:ind w:firstLineChars="100" w:firstLine="240"/>
              <w:textAlignment w:val="center"/>
              <w:rPr>
                <w:rFonts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分</w:t>
            </w:r>
          </w:p>
        </w:tc>
        <w:tc>
          <w:tcPr>
            <w:tcW w:w="10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3555A" w:rsidRDefault="0043555A">
            <w:pPr>
              <w:pStyle w:val="a6"/>
              <w:spacing w:line="560" w:lineRule="exact"/>
              <w:ind w:firstLineChars="0" w:firstLine="0"/>
              <w:rPr>
                <w:rFonts w:hAnsi="宋体" w:cs="宋体"/>
                <w:szCs w:val="24"/>
              </w:rPr>
            </w:pPr>
          </w:p>
        </w:tc>
      </w:tr>
    </w:tbl>
    <w:p w:rsidR="0043555A" w:rsidRDefault="0043555A">
      <w:pPr>
        <w:pStyle w:val="a0"/>
        <w:spacing w:line="560" w:lineRule="exact"/>
      </w:pPr>
    </w:p>
    <w:p w:rsidR="0043555A" w:rsidRDefault="00FA06BF">
      <w:pPr>
        <w:spacing w:line="560" w:lineRule="exact"/>
        <w:ind w:firstLineChars="100" w:firstLine="24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lastRenderedPageBreak/>
        <w:t>本项目实行</w:t>
      </w:r>
      <w:r>
        <w:rPr>
          <w:rFonts w:ascii="宋体" w:hAnsi="宋体" w:cs="宋体" w:hint="eastAsia"/>
          <w:sz w:val="24"/>
        </w:rPr>
        <w:t>半年</w:t>
      </w:r>
      <w:r>
        <w:rPr>
          <w:rFonts w:ascii="宋体" w:hAnsi="宋体" w:cs="宋体" w:hint="eastAsia"/>
          <w:sz w:val="24"/>
        </w:rPr>
        <w:t>考核：</w:t>
      </w:r>
    </w:p>
    <w:p w:rsidR="0043555A" w:rsidRDefault="00FA06BF">
      <w:pPr>
        <w:numPr>
          <w:ilvl w:val="0"/>
          <w:numId w:val="2"/>
        </w:numPr>
        <w:spacing w:line="560" w:lineRule="exac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得分</w:t>
      </w:r>
      <w:r>
        <w:rPr>
          <w:rFonts w:ascii="宋体" w:hAnsi="宋体" w:cs="宋体"/>
          <w:sz w:val="24"/>
        </w:rPr>
        <w:t>90</w:t>
      </w:r>
      <w:r>
        <w:rPr>
          <w:rFonts w:ascii="宋体" w:hAnsi="宋体" w:cs="宋体" w:hint="eastAsia"/>
          <w:sz w:val="24"/>
        </w:rPr>
        <w:t>分（含）以上的，为考核合格，并对扣分项进行限期整改；</w:t>
      </w:r>
    </w:p>
    <w:p w:rsidR="0043555A" w:rsidRDefault="00FA06BF">
      <w:pPr>
        <w:numPr>
          <w:ilvl w:val="0"/>
          <w:numId w:val="2"/>
        </w:numPr>
        <w:spacing w:line="560" w:lineRule="exac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得分</w:t>
      </w:r>
      <w:r>
        <w:rPr>
          <w:rFonts w:ascii="宋体" w:hAnsi="宋体" w:cs="宋体"/>
          <w:sz w:val="24"/>
        </w:rPr>
        <w:t>8</w:t>
      </w:r>
      <w:r>
        <w:rPr>
          <w:rFonts w:asci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>分（含）</w:t>
      </w:r>
      <w:r>
        <w:rPr>
          <w:rFonts w:ascii="宋体" w:hAnsi="宋体" w:cs="宋体"/>
          <w:sz w:val="24"/>
        </w:rPr>
        <w:t>-89</w:t>
      </w:r>
      <w:r>
        <w:rPr>
          <w:rFonts w:ascii="宋体" w:hAnsi="宋体" w:cs="宋体" w:hint="eastAsia"/>
          <w:sz w:val="24"/>
        </w:rPr>
        <w:t>分，每次扣</w:t>
      </w:r>
      <w:r>
        <w:rPr>
          <w:rFonts w:ascii="宋体" w:hAnsi="宋体" w:cs="宋体"/>
          <w:sz w:val="24"/>
        </w:rPr>
        <w:t>1000</w:t>
      </w:r>
      <w:r>
        <w:rPr>
          <w:rFonts w:ascii="宋体" w:hAnsi="宋体" w:cs="宋体" w:hint="eastAsia"/>
          <w:sz w:val="24"/>
        </w:rPr>
        <w:t>元，并对扣分项进行限期整改；</w:t>
      </w:r>
    </w:p>
    <w:p w:rsidR="0043555A" w:rsidRDefault="00FA06BF">
      <w:pPr>
        <w:numPr>
          <w:ilvl w:val="0"/>
          <w:numId w:val="2"/>
        </w:numPr>
        <w:spacing w:line="560" w:lineRule="exact"/>
        <w:rPr>
          <w:sz w:val="24"/>
        </w:rPr>
      </w:pPr>
      <w:r>
        <w:rPr>
          <w:rFonts w:ascii="宋体" w:hAnsi="宋体" w:cs="宋体" w:hint="eastAsia"/>
          <w:sz w:val="24"/>
        </w:rPr>
        <w:t>得分</w:t>
      </w:r>
      <w:r>
        <w:rPr>
          <w:rFonts w:ascii="宋体" w:hAnsi="宋体" w:cs="宋体"/>
          <w:sz w:val="24"/>
        </w:rPr>
        <w:t>79</w:t>
      </w:r>
      <w:r>
        <w:rPr>
          <w:rFonts w:ascii="宋体" w:hAnsi="宋体" w:cs="宋体" w:hint="eastAsia"/>
          <w:sz w:val="24"/>
        </w:rPr>
        <w:t>分（含）以下的，每次扣</w:t>
      </w:r>
      <w:r>
        <w:rPr>
          <w:rFonts w:ascii="宋体" w:hAnsi="宋体" w:cs="宋体"/>
          <w:sz w:val="24"/>
        </w:rPr>
        <w:t>1000</w:t>
      </w:r>
      <w:r>
        <w:rPr>
          <w:rFonts w:ascii="宋体" w:hAnsi="宋体" w:cs="宋体" w:hint="eastAsia"/>
          <w:sz w:val="24"/>
        </w:rPr>
        <w:t>元，并对扣分项进行限期整改，连续</w:t>
      </w:r>
      <w:r>
        <w:rPr>
          <w:rFonts w:ascii="宋体" w:hAnsi="宋体" w:cs="宋体" w:hint="eastAsia"/>
          <w:sz w:val="24"/>
        </w:rPr>
        <w:t>2</w:t>
      </w:r>
      <w:r>
        <w:rPr>
          <w:rFonts w:ascii="宋体" w:hAnsi="宋体" w:cs="宋体" w:hint="eastAsia"/>
          <w:sz w:val="24"/>
        </w:rPr>
        <w:t>个考核周期</w:t>
      </w:r>
      <w:r>
        <w:rPr>
          <w:rFonts w:ascii="宋体" w:hAnsi="宋体" w:cs="宋体" w:hint="eastAsia"/>
          <w:sz w:val="24"/>
        </w:rPr>
        <w:t>得分低于</w:t>
      </w:r>
      <w:r>
        <w:rPr>
          <w:rFonts w:ascii="宋体" w:hAnsi="宋体" w:cs="宋体" w:hint="eastAsia"/>
          <w:sz w:val="24"/>
        </w:rPr>
        <w:t>79</w:t>
      </w:r>
      <w:r>
        <w:rPr>
          <w:rFonts w:ascii="宋体" w:hAnsi="宋体" w:cs="宋体" w:hint="eastAsia"/>
          <w:sz w:val="24"/>
        </w:rPr>
        <w:t>分（含）的，甲方有权解除合同，由乙方承担相应的经济损失。</w:t>
      </w:r>
    </w:p>
    <w:p w:rsidR="0043555A" w:rsidRDefault="0043555A">
      <w:pPr>
        <w:spacing w:line="560" w:lineRule="exact"/>
      </w:pPr>
    </w:p>
    <w:sectPr w:rsidR="0043555A" w:rsidSect="00435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6BF" w:rsidRDefault="00FA06BF" w:rsidP="00F94811">
      <w:r>
        <w:separator/>
      </w:r>
    </w:p>
  </w:endnote>
  <w:endnote w:type="continuationSeparator" w:id="1">
    <w:p w:rsidR="00FA06BF" w:rsidRDefault="00FA06BF" w:rsidP="00F94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6BF" w:rsidRDefault="00FA06BF" w:rsidP="00F94811">
      <w:r>
        <w:separator/>
      </w:r>
    </w:p>
  </w:footnote>
  <w:footnote w:type="continuationSeparator" w:id="1">
    <w:p w:rsidR="00FA06BF" w:rsidRDefault="00FA06BF" w:rsidP="00F94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957562"/>
    <w:multiLevelType w:val="singleLevel"/>
    <w:tmpl w:val="92957562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271289EC"/>
    <w:multiLevelType w:val="singleLevel"/>
    <w:tmpl w:val="271289E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CC7FFE"/>
    <w:rsid w:val="0043555A"/>
    <w:rsid w:val="009F14FC"/>
    <w:rsid w:val="00F94811"/>
    <w:rsid w:val="00FA06BF"/>
    <w:rsid w:val="0EF156B3"/>
    <w:rsid w:val="2CC848EF"/>
    <w:rsid w:val="3B615BF5"/>
    <w:rsid w:val="62CC7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3555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rsid w:val="0043555A"/>
  </w:style>
  <w:style w:type="paragraph" w:styleId="a4">
    <w:name w:val="footer"/>
    <w:basedOn w:val="a"/>
    <w:uiPriority w:val="99"/>
    <w:semiHidden/>
    <w:rsid w:val="00435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1"/>
    <w:rsid w:val="0043555A"/>
  </w:style>
  <w:style w:type="paragraph" w:customStyle="1" w:styleId="a6">
    <w:name w:val="段"/>
    <w:next w:val="a"/>
    <w:uiPriority w:val="99"/>
    <w:qFormat/>
    <w:rsid w:val="0043555A"/>
    <w:pPr>
      <w:autoSpaceDE w:val="0"/>
      <w:autoSpaceDN w:val="0"/>
      <w:adjustRightInd w:val="0"/>
      <w:snapToGrid w:val="0"/>
      <w:spacing w:line="360" w:lineRule="auto"/>
      <w:ind w:firstLineChars="200" w:firstLine="200"/>
      <w:jc w:val="both"/>
    </w:pPr>
    <w:rPr>
      <w:rFonts w:ascii="宋体" w:eastAsia="宋体" w:hAnsi="Calibri" w:cs="Times New Roman"/>
      <w:sz w:val="24"/>
      <w:szCs w:val="22"/>
    </w:rPr>
  </w:style>
  <w:style w:type="paragraph" w:customStyle="1" w:styleId="0">
    <w:name w:val="0正文"/>
    <w:uiPriority w:val="99"/>
    <w:qFormat/>
    <w:rsid w:val="0043555A"/>
    <w:pPr>
      <w:widowControl w:val="0"/>
      <w:spacing w:line="360" w:lineRule="auto"/>
      <w:ind w:firstLineChars="200" w:firstLine="720"/>
    </w:pPr>
    <w:rPr>
      <w:rFonts w:ascii="Calibri" w:eastAsia="宋体" w:hAnsi="Calibri" w:cs="Times New Roman"/>
      <w:sz w:val="24"/>
      <w:szCs w:val="22"/>
    </w:rPr>
  </w:style>
  <w:style w:type="paragraph" w:styleId="a7">
    <w:name w:val="header"/>
    <w:basedOn w:val="a"/>
    <w:link w:val="Char"/>
    <w:rsid w:val="00F948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F94811"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Intense Emphasis"/>
    <w:basedOn w:val="a1"/>
    <w:uiPriority w:val="21"/>
    <w:qFormat/>
    <w:rsid w:val="009F14FC"/>
    <w:rPr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</dc:creator>
  <cp:lastModifiedBy>CGB321</cp:lastModifiedBy>
  <cp:revision>3</cp:revision>
  <dcterms:created xsi:type="dcterms:W3CDTF">2021-11-25T01:19:00Z</dcterms:created>
  <dcterms:modified xsi:type="dcterms:W3CDTF">2021-11-26T04:04:00Z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0E5DA42B772C41EB884AA0D11318AC61</vt:lpwstr>
  </property>
</Properties>
</file>